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3B" w:rsidRDefault="00C2783B" w:rsidP="00C2783B">
      <w:pPr>
        <w:shd w:val="clear" w:color="auto" w:fill="FFFFFF"/>
        <w:spacing w:line="274" w:lineRule="exact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-228600</wp:posOffset>
            </wp:positionV>
            <wp:extent cx="4686300" cy="1964055"/>
            <wp:effectExtent l="0" t="0" r="0" b="0"/>
            <wp:wrapNone/>
            <wp:docPr id="1" name="Рисунок 1" descr="График мероприятий 1 половина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рафик мероприятий 1 половина 20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783B" w:rsidRDefault="00C2783B" w:rsidP="00C2783B">
      <w:pPr>
        <w:shd w:val="clear" w:color="auto" w:fill="FFFFFF"/>
        <w:spacing w:line="274" w:lineRule="exact"/>
        <w:jc w:val="center"/>
        <w:rPr>
          <w:b/>
          <w:bCs/>
          <w:sz w:val="28"/>
          <w:szCs w:val="28"/>
        </w:rPr>
      </w:pPr>
    </w:p>
    <w:p w:rsidR="00C2783B" w:rsidRDefault="00C2783B" w:rsidP="00C2783B">
      <w:pPr>
        <w:shd w:val="clear" w:color="auto" w:fill="FFFFFF"/>
        <w:spacing w:line="274" w:lineRule="exact"/>
        <w:jc w:val="center"/>
        <w:rPr>
          <w:b/>
          <w:bCs/>
          <w:sz w:val="28"/>
          <w:szCs w:val="28"/>
        </w:rPr>
      </w:pPr>
    </w:p>
    <w:p w:rsidR="00C2783B" w:rsidRDefault="00C2783B" w:rsidP="00C2783B">
      <w:pPr>
        <w:shd w:val="clear" w:color="auto" w:fill="FFFFFF"/>
        <w:spacing w:line="274" w:lineRule="exact"/>
        <w:jc w:val="center"/>
        <w:rPr>
          <w:b/>
          <w:bCs/>
          <w:sz w:val="28"/>
          <w:szCs w:val="28"/>
        </w:rPr>
      </w:pPr>
    </w:p>
    <w:p w:rsidR="00C2783B" w:rsidRDefault="00C2783B" w:rsidP="00C2783B">
      <w:pPr>
        <w:shd w:val="clear" w:color="auto" w:fill="FFFFFF"/>
        <w:spacing w:line="274" w:lineRule="exact"/>
        <w:jc w:val="center"/>
        <w:rPr>
          <w:b/>
          <w:bCs/>
          <w:sz w:val="28"/>
          <w:szCs w:val="28"/>
        </w:rPr>
      </w:pPr>
    </w:p>
    <w:p w:rsidR="00C2783B" w:rsidRDefault="00C2783B" w:rsidP="00C2783B">
      <w:pPr>
        <w:shd w:val="clear" w:color="auto" w:fill="FFFFFF"/>
        <w:spacing w:line="274" w:lineRule="exact"/>
        <w:jc w:val="center"/>
        <w:rPr>
          <w:b/>
          <w:bCs/>
          <w:sz w:val="28"/>
          <w:szCs w:val="28"/>
        </w:rPr>
      </w:pPr>
    </w:p>
    <w:p w:rsidR="00C2783B" w:rsidRDefault="00C2783B" w:rsidP="00C2783B">
      <w:pPr>
        <w:shd w:val="clear" w:color="auto" w:fill="FFFFFF"/>
        <w:spacing w:line="274" w:lineRule="exact"/>
        <w:jc w:val="center"/>
        <w:rPr>
          <w:b/>
          <w:bCs/>
          <w:sz w:val="28"/>
          <w:szCs w:val="28"/>
        </w:rPr>
      </w:pP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83B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ФЕДЕРАЛЬНОЕ ГОСУДАРСТВЕННОЕ БЮДЖЕТНОЕ </w:t>
      </w: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2783B"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</w:t>
      </w: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2783B">
        <w:rPr>
          <w:rFonts w:ascii="Times New Roman" w:hAnsi="Times New Roman" w:cs="Times New Roman"/>
          <w:b/>
          <w:bCs/>
          <w:sz w:val="28"/>
          <w:szCs w:val="28"/>
        </w:rPr>
        <w:t>ВЫСШЕГО ПРОФЕССИОНАЛЬНОГО ОБРАЗОВАНИЯ</w:t>
      </w: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83B">
        <w:rPr>
          <w:rFonts w:ascii="Times New Roman" w:hAnsi="Times New Roman" w:cs="Times New Roman"/>
          <w:b/>
          <w:bCs/>
          <w:sz w:val="28"/>
          <w:szCs w:val="28"/>
        </w:rPr>
        <w:t>«САРАТОВСКАЯ ГОСУДАРСТВЕННАЯ ЮРИДИЧЕСКАЯ АКАДЕМИЯ»</w:t>
      </w: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2783B">
        <w:rPr>
          <w:rFonts w:ascii="Times New Roman" w:hAnsi="Times New Roman" w:cs="Times New Roman"/>
          <w:b/>
          <w:bCs/>
          <w:spacing w:val="-1"/>
          <w:sz w:val="28"/>
          <w:szCs w:val="28"/>
        </w:rPr>
        <w:t>Институт второго высшего и дополнительного профессионального образования</w:t>
      </w:r>
    </w:p>
    <w:p w:rsidR="00C2783B" w:rsidRPr="00C2783B" w:rsidRDefault="00C2783B" w:rsidP="00C2783B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C2783B" w:rsidRPr="00C2783B" w:rsidRDefault="00C2783B" w:rsidP="00C2783B">
      <w:pPr>
        <w:shd w:val="clear" w:color="auto" w:fill="FFFFFF"/>
        <w:spacing w:before="29" w:line="274" w:lineRule="exact"/>
        <w:ind w:right="-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83B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C2783B" w:rsidRPr="00C2783B" w:rsidRDefault="00C2783B" w:rsidP="00C2783B">
      <w:pPr>
        <w:shd w:val="clear" w:color="auto" w:fill="FFFFFF"/>
        <w:spacing w:before="29" w:line="274" w:lineRule="exact"/>
        <w:ind w:right="-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83B" w:rsidRPr="00C2783B" w:rsidRDefault="00C2783B" w:rsidP="00C2783B">
      <w:pPr>
        <w:shd w:val="clear" w:color="auto" w:fill="FFFFFF"/>
        <w:spacing w:before="29" w:line="274" w:lineRule="exact"/>
        <w:ind w:right="-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83B">
        <w:rPr>
          <w:rFonts w:ascii="Times New Roman" w:hAnsi="Times New Roman" w:cs="Times New Roman"/>
          <w:b/>
          <w:bCs/>
          <w:sz w:val="28"/>
          <w:szCs w:val="28"/>
        </w:rPr>
        <w:t>«Правовые основы организации и деятельности комиссий по делам несовершеннолетних и защите их прав в Российской Федерации»</w:t>
      </w:r>
      <w:bookmarkStart w:id="0" w:name="_GoBack"/>
      <w:bookmarkEnd w:id="0"/>
    </w:p>
    <w:p w:rsidR="00C2783B" w:rsidRPr="00586DF8" w:rsidRDefault="00C2783B" w:rsidP="00586D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871" w:type="dxa"/>
        <w:tblLayout w:type="fixed"/>
        <w:tblLook w:val="04A0"/>
      </w:tblPr>
      <w:tblGrid>
        <w:gridCol w:w="427"/>
        <w:gridCol w:w="10767"/>
        <w:gridCol w:w="1417"/>
        <w:gridCol w:w="1495"/>
        <w:gridCol w:w="1765"/>
      </w:tblGrid>
      <w:tr w:rsidR="00C2783B" w:rsidRPr="00C2783B" w:rsidTr="00153D47">
        <w:tc>
          <w:tcPr>
            <w:tcW w:w="11194" w:type="dxa"/>
            <w:gridSpan w:val="2"/>
            <w:vMerge w:val="restart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2783B">
              <w:rPr>
                <w:b/>
              </w:rPr>
              <w:t>Наименование дисциплин, разделов и тем</w:t>
            </w:r>
          </w:p>
        </w:tc>
        <w:tc>
          <w:tcPr>
            <w:tcW w:w="1417" w:type="dxa"/>
            <w:vMerge w:val="restart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2783B">
              <w:rPr>
                <w:b/>
              </w:rPr>
              <w:t>Всего часов</w:t>
            </w:r>
          </w:p>
        </w:tc>
        <w:tc>
          <w:tcPr>
            <w:tcW w:w="3260" w:type="dxa"/>
            <w:gridSpan w:val="2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2783B">
              <w:rPr>
                <w:b/>
              </w:rPr>
              <w:t>В том числе</w:t>
            </w:r>
          </w:p>
        </w:tc>
      </w:tr>
      <w:tr w:rsidR="00C2783B" w:rsidRPr="00C2783B" w:rsidTr="00153D47">
        <w:tc>
          <w:tcPr>
            <w:tcW w:w="11194" w:type="dxa"/>
            <w:gridSpan w:val="2"/>
            <w:vMerge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2783B">
              <w:rPr>
                <w:b/>
              </w:rPr>
              <w:t>лекции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2783B">
              <w:rPr>
                <w:b/>
              </w:rPr>
              <w:t>практические занятия</w:t>
            </w:r>
          </w:p>
        </w:tc>
      </w:tr>
      <w:tr w:rsidR="00C2783B" w:rsidRPr="00C2783B" w:rsidTr="00153D47">
        <w:tc>
          <w:tcPr>
            <w:tcW w:w="11194" w:type="dxa"/>
            <w:gridSpan w:val="2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rPr>
                <w:b/>
                <w:color w:val="000000"/>
              </w:rPr>
              <w:t>«Правовые основы организации и деятельности комиссий по делам несовершеннолетних и защите их прав в Российской Федерации</w:t>
            </w:r>
            <w:r>
              <w:rPr>
                <w:b/>
                <w:color w:val="000000"/>
              </w:rPr>
              <w:t>»</w:t>
            </w:r>
          </w:p>
        </w:tc>
        <w:tc>
          <w:tcPr>
            <w:tcW w:w="1417" w:type="dxa"/>
            <w:vAlign w:val="center"/>
          </w:tcPr>
          <w:p w:rsid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95" w:type="dxa"/>
            <w:vAlign w:val="center"/>
          </w:tcPr>
          <w:p w:rsid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2783B" w:rsidRPr="00C2783B" w:rsidTr="00153D47">
        <w:tc>
          <w:tcPr>
            <w:tcW w:w="11194" w:type="dxa"/>
            <w:gridSpan w:val="2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rPr>
                <w:b/>
              </w:rPr>
              <w:t>Модуль 1. Правовые и организационные основы функционирования системы профилактики безнадзорности и правонарушений несовершеннолетних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C2783B" w:rsidRPr="00C2783B" w:rsidTr="00153D47">
        <w:tc>
          <w:tcPr>
            <w:tcW w:w="427" w:type="dxa"/>
            <w:vMerge w:val="restart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rPr>
                <w:b/>
                <w:color w:val="000000"/>
              </w:rPr>
              <w:t>Тема 1.1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t>Структура и принципы деятельности системы профилактики безнадзорности и правонарушений несовершеннолетних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C2783B" w:rsidRPr="00C2783B" w:rsidTr="00153D47">
        <w:tc>
          <w:tcPr>
            <w:tcW w:w="427" w:type="dxa"/>
            <w:vMerge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snapToGrid w:val="0"/>
              </w:rPr>
            </w:pPr>
            <w:r w:rsidRPr="00C2783B">
              <w:rPr>
                <w:b/>
                <w:snapToGrid w:val="0"/>
              </w:rPr>
              <w:t>Тема 1.2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rPr>
                <w:snapToGrid w:val="0"/>
              </w:rPr>
              <w:t>Формы и методы управления системой профилактики безнадзорности и правонарушений несовершеннолетних: планирование, учет, отчетность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snapToGrid w:val="0"/>
              </w:rPr>
            </w:pPr>
          </w:p>
        </w:tc>
      </w:tr>
      <w:tr w:rsidR="00C2783B" w:rsidRPr="00C2783B" w:rsidTr="00153D47">
        <w:tc>
          <w:tcPr>
            <w:tcW w:w="427" w:type="dxa"/>
            <w:vMerge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rPr>
                <w:b/>
                <w:color w:val="000000"/>
              </w:rPr>
              <w:t>Тема 1.3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t>Правовое регулирование информационного обмена между субъектами системы профилактики безнадзорности и правонарушений несовершеннолетних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C2783B" w:rsidRPr="00C2783B" w:rsidTr="00153D47">
        <w:tc>
          <w:tcPr>
            <w:tcW w:w="427" w:type="dxa"/>
            <w:vMerge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rPr>
                <w:b/>
                <w:color w:val="000000"/>
              </w:rPr>
              <w:t>Тема 1.4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snapToGrid w:val="0"/>
              </w:rPr>
              <w:t>Место и роль комиссий по делам несовершеннолетних и защите их прав в системе профилактики безнадзорности и правонарушений несовершеннолетних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C2783B" w:rsidRPr="00C2783B" w:rsidTr="00153D47">
        <w:tc>
          <w:tcPr>
            <w:tcW w:w="42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C2783B">
              <w:rPr>
                <w:b/>
                <w:color w:val="000000"/>
              </w:rPr>
              <w:t>Тема 1.5.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Основы документационного обеспечения деятельности комиссий по делам несовершеннолетних и защите их прав.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C2783B" w:rsidRPr="00C2783B" w:rsidTr="00153D47">
        <w:tc>
          <w:tcPr>
            <w:tcW w:w="11194" w:type="dxa"/>
            <w:gridSpan w:val="2"/>
            <w:vAlign w:val="center"/>
          </w:tcPr>
          <w:p w:rsidR="00C2783B" w:rsidRPr="00C2783B" w:rsidRDefault="00C2783B" w:rsidP="00153D4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Административно-правовая и уголовно-правовая охрана прав и свобод несовершеннолетних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783B" w:rsidRPr="00C2783B" w:rsidTr="00153D47">
        <w:tc>
          <w:tcPr>
            <w:tcW w:w="42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Производство по делам об административных правонарушениях в деятельности комиссий по делам несовершеннолетних и защите их прав.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2.1.1. Общие положения и принципы производства по делам об административных правонарушениях в комиссиях по делам несовершеннолетних и защите их прав.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2.1.2. Возбуждение дела об административном правонарушении. Протокол об административном правонарушении в комиссиях по делам несовершеннолетних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2.1.3.Рассмотрение дела об административном правонарушении. Постановление и определение по делу и их виды.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2.1.4. Обжалование и опротестование постановление комиссий по делам несовершеннолетних и защите и х прав.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2.1.5. Исполнение постановлений по делам об административных правонарушениях в комиссиях по делам несовершеннолетних и защите их прав. Порядок исполнения отдельных видов административных наказаний.</w:t>
            </w:r>
          </w:p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2783B">
              <w:rPr>
                <w:color w:val="000000"/>
              </w:rPr>
              <w:t>2.1.6. Доказательства и доказывание в производстве по отдельным категориям дел об административных правонарушениях в комиссиях по делам несовершеннолетних и защите их прав.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783B" w:rsidRPr="00C2783B" w:rsidTr="00153D47">
        <w:tc>
          <w:tcPr>
            <w:tcW w:w="42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производства по уголовным делам в отношении несовершеннолетних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83B" w:rsidRPr="00C2783B" w:rsidTr="00153D47">
        <w:tc>
          <w:tcPr>
            <w:tcW w:w="11194" w:type="dxa"/>
            <w:gridSpan w:val="2"/>
            <w:vAlign w:val="center"/>
          </w:tcPr>
          <w:p w:rsidR="00C2783B" w:rsidRPr="00C2783B" w:rsidRDefault="00C2783B" w:rsidP="00153D47">
            <w:pPr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3. Права и свободы несовершеннолетних и особенности их обеспечения в деятельности органов и учреждений системы профилактики безнадзорности и правонарушений </w:t>
            </w:r>
            <w:r w:rsidRPr="00C278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несовершеннолетних.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2783B" w:rsidRPr="00C2783B" w:rsidTr="00153D47">
        <w:tc>
          <w:tcPr>
            <w:tcW w:w="427" w:type="dxa"/>
            <w:vMerge w:val="restart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Родительские права: содержание и порядок реализации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83B" w:rsidRPr="00C2783B" w:rsidTr="00153D47">
        <w:trPr>
          <w:trHeight w:val="617"/>
        </w:trPr>
        <w:tc>
          <w:tcPr>
            <w:tcW w:w="427" w:type="dxa"/>
            <w:vMerge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жилищных и иных гражданских прав несовершеннолетнего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83B" w:rsidRPr="00C2783B" w:rsidTr="00153D47">
        <w:tc>
          <w:tcPr>
            <w:tcW w:w="427" w:type="dxa"/>
            <w:vMerge w:val="restart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Комиссии по делам несовершеннолетних как участники гражданского судопроизводства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2783B" w:rsidRPr="00C2783B" w:rsidTr="00153D47">
        <w:tc>
          <w:tcPr>
            <w:tcW w:w="427" w:type="dxa"/>
            <w:vMerge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Cs/>
                <w:sz w:val="24"/>
                <w:szCs w:val="24"/>
              </w:rPr>
              <w:t>Семейно-правовая ответственность родителей (законных представителей) несовершеннолетних (ограничение. Лишение родительских прав)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83B" w:rsidRPr="00C2783B" w:rsidTr="00153D47">
        <w:tc>
          <w:tcPr>
            <w:tcW w:w="11194" w:type="dxa"/>
            <w:gridSpan w:val="2"/>
            <w:vAlign w:val="center"/>
          </w:tcPr>
          <w:p w:rsidR="00C2783B" w:rsidRPr="00C2783B" w:rsidRDefault="00C2783B" w:rsidP="00153D47">
            <w:pPr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Особенности организации индивидуальной профилактической работы с несовершеннолетними и иными лицами.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83B" w:rsidRPr="00C2783B" w:rsidTr="00153D47">
        <w:tc>
          <w:tcPr>
            <w:tcW w:w="427" w:type="dxa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4.1.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Субъекты, основания и особенности организации индивидуальной профилактической работы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2783B" w:rsidRPr="00C2783B" w:rsidTr="00153D47">
        <w:tc>
          <w:tcPr>
            <w:tcW w:w="427" w:type="dxa"/>
            <w:vMerge w:val="restart"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4.2.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Психотехники и </w:t>
            </w:r>
            <w:proofErr w:type="spellStart"/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психотехнологии</w:t>
            </w:r>
            <w:proofErr w:type="spellEnd"/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профессионального общения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2783B" w:rsidRPr="00C2783B" w:rsidTr="00153D47">
        <w:tc>
          <w:tcPr>
            <w:tcW w:w="427" w:type="dxa"/>
            <w:vMerge/>
            <w:vAlign w:val="center"/>
          </w:tcPr>
          <w:p w:rsidR="00C2783B" w:rsidRPr="00C2783B" w:rsidRDefault="00C2783B" w:rsidP="00153D47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1076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4.3.</w:t>
            </w:r>
          </w:p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и способы управления и разрешения межличностных и </w:t>
            </w:r>
            <w:proofErr w:type="spellStart"/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внутриличностных</w:t>
            </w:r>
            <w:proofErr w:type="spellEnd"/>
            <w:r w:rsidRPr="00C27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конфликтов</w:t>
            </w:r>
          </w:p>
        </w:tc>
        <w:tc>
          <w:tcPr>
            <w:tcW w:w="1417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5" w:type="dxa"/>
            <w:vAlign w:val="center"/>
          </w:tcPr>
          <w:p w:rsidR="00C2783B" w:rsidRPr="00C2783B" w:rsidRDefault="00C2783B" w:rsidP="00153D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D1DCE" w:rsidRPr="00586DF8" w:rsidRDefault="004D1DCE" w:rsidP="00586D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D1DCE" w:rsidRPr="00586DF8" w:rsidSect="00C278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80F"/>
    <w:rsid w:val="00102E3A"/>
    <w:rsid w:val="00153D47"/>
    <w:rsid w:val="001758D2"/>
    <w:rsid w:val="002864D5"/>
    <w:rsid w:val="004C5380"/>
    <w:rsid w:val="004D1DCE"/>
    <w:rsid w:val="00586DF8"/>
    <w:rsid w:val="00617145"/>
    <w:rsid w:val="006617F8"/>
    <w:rsid w:val="006B359E"/>
    <w:rsid w:val="007B1F83"/>
    <w:rsid w:val="008D7B23"/>
    <w:rsid w:val="00A633B3"/>
    <w:rsid w:val="00A86795"/>
    <w:rsid w:val="00B85E53"/>
    <w:rsid w:val="00C2783B"/>
    <w:rsid w:val="00D03BED"/>
    <w:rsid w:val="00D2380F"/>
    <w:rsid w:val="00D845A5"/>
    <w:rsid w:val="00E02BE3"/>
    <w:rsid w:val="00E616CE"/>
    <w:rsid w:val="00FF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380"/>
  </w:style>
  <w:style w:type="paragraph" w:styleId="1">
    <w:name w:val="heading 1"/>
    <w:basedOn w:val="a"/>
    <w:next w:val="a"/>
    <w:link w:val="10"/>
    <w:qFormat/>
    <w:rsid w:val="004D1D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3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"/>
    <w:basedOn w:val="a"/>
    <w:rsid w:val="00D2380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4D1DC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5">
    <w:name w:val="Body Text Indent"/>
    <w:basedOn w:val="a"/>
    <w:link w:val="a6"/>
    <w:rsid w:val="004D1DCE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D1DC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7">
    <w:name w:val="Strong"/>
    <w:uiPriority w:val="22"/>
    <w:qFormat/>
    <w:rsid w:val="004D1DCE"/>
    <w:rPr>
      <w:b/>
      <w:bCs/>
    </w:rPr>
  </w:style>
  <w:style w:type="character" w:customStyle="1" w:styleId="apple-converted-space">
    <w:name w:val="apple-converted-space"/>
    <w:rsid w:val="004D1DCE"/>
  </w:style>
  <w:style w:type="table" w:styleId="a8">
    <w:name w:val="Table Grid"/>
    <w:basedOn w:val="a1"/>
    <w:uiPriority w:val="39"/>
    <w:rsid w:val="007B1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C278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5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СГЮА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ДПО Специалист</dc:creator>
  <cp:lastModifiedBy>vohtomina</cp:lastModifiedBy>
  <cp:revision>2</cp:revision>
  <dcterms:created xsi:type="dcterms:W3CDTF">2019-06-27T13:01:00Z</dcterms:created>
  <dcterms:modified xsi:type="dcterms:W3CDTF">2019-06-27T13:01:00Z</dcterms:modified>
</cp:coreProperties>
</file>